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7FCCE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>Основные направления налоговой политики Первомайского района на 2026 год</w:t>
      </w:r>
    </w:p>
    <w:p w14:paraId="053399A5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>и  плановый период 2027 - 2028 годов</w:t>
      </w:r>
    </w:p>
    <w:p w14:paraId="5F0D6A68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</w:p>
    <w:p w14:paraId="64C9E078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>Основные направления налоговой политики муниципального образования «Первомайский район» на 2026 год и плановый период 2027 и 2028 годов разработаны в соответствии со статьями 172, 184.2  Бюджетного кодекса Российской Федерации, со статьей 13  Положения «О бюджетном процессе в муниципальном образовании «Первомайский район», утвержденного  Решением Думы Первомайского района  от 27.08.2021 №118 «Об утверждении Положения «О бюджетном процессе в муниципальном образовании «Первомайский район», с целью подготовки проекта бюджета муниципального образования «Первомайский район» на очередной финансовый год и на плановый период.</w:t>
      </w:r>
    </w:p>
    <w:p w14:paraId="6949FE3B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Основные направления налоговой политики Первомайского района разработаны на основании проекта Основных направлений налоговой политики Томской области на 2026 и плановый период 2027 и 2028 годов, положений Послания Президента Российской Федерации Федеральному Собранию Российской Федерации, приоритетов Стратегии социально-экономического развития </w:t>
      </w:r>
      <w:r>
        <w:rPr>
          <w:rFonts w:ascii="Times New Roman" w:hAnsi="Times New Roman" w:eastAsia="Calibri" w:cs="Times New Roman"/>
          <w:sz w:val="26"/>
          <w:szCs w:val="26"/>
          <w:lang w:eastAsia="ru-RU"/>
        </w:rPr>
        <w:t xml:space="preserve"> Первомайского района до 2030 года, утвержденной решением Думы Первомайского района № 30 от 28.01.2016 года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 </w:t>
      </w:r>
    </w:p>
    <w:p w14:paraId="41EFFAB0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eastAsia="Calibri" w:cs="Times New Roman"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sz w:val="26"/>
          <w:szCs w:val="26"/>
          <w:lang w:eastAsia="ru-RU"/>
        </w:rPr>
        <w:t>Основными целями налоговой политики являются обеспечение финансовой устойчивости муниципального образования «Первомайский район» Томской области, получение необходимого объема бюджетных доходов, развития предпринимательской деятельности, упорядочение системы налоговых льгот.</w:t>
      </w:r>
    </w:p>
    <w:p w14:paraId="0D06E235">
      <w:pPr>
        <w:spacing w:after="0" w:line="240" w:lineRule="auto"/>
        <w:ind w:firstLine="567"/>
        <w:jc w:val="both"/>
        <w:rPr>
          <w:rFonts w:ascii="Times New Roman" w:hAnsi="Times New Roman" w:eastAsia="Calibri" w:cs="Times New Roman"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sz w:val="26"/>
          <w:szCs w:val="26"/>
          <w:lang w:eastAsia="ru-RU"/>
        </w:rPr>
        <w:t>Важнейшим фактором проводимой налоговой политики является необходимость поддержания сбалансированности бюджета Первомайского района, обеспечение исполнения условий ежегодных Соглашений с Департаментом финансов Томской области о мерах по социально-экономическому развитию и оздоровлению муниципальных финансов муниципального образования «Первомайский район».</w:t>
      </w:r>
    </w:p>
    <w:p w14:paraId="1DC4BCDF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eastAsia="Calibri" w:cs="Times New Roman"/>
          <w:sz w:val="26"/>
          <w:szCs w:val="26"/>
          <w:lang w:eastAsia="ru-RU"/>
        </w:rPr>
      </w:pPr>
    </w:p>
    <w:p w14:paraId="1B80C3CF">
      <w:pPr>
        <w:pStyle w:val="12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Итоги реализации налоговой политики в 2024 и 2025 годах</w:t>
      </w:r>
    </w:p>
    <w:p w14:paraId="3F2CBF28">
      <w:pPr>
        <w:pStyle w:val="12"/>
        <w:ind w:firstLine="0"/>
        <w:jc w:val="center"/>
        <w:rPr>
          <w:b/>
          <w:sz w:val="26"/>
          <w:szCs w:val="26"/>
        </w:rPr>
      </w:pPr>
    </w:p>
    <w:p w14:paraId="43241E7E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eastAsia="Calibri" w:cs="Times New Roman"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sz w:val="26"/>
          <w:szCs w:val="26"/>
          <w:lang w:eastAsia="ru-RU"/>
        </w:rPr>
        <w:t>В целях реализации плана мероприятий по увеличению налоговых и неналоговых доходов консолидированного бюджета муниципального образования «Первомайского района» на 2025 год, утвержденного постановлением Администрации Первомайского района от 17.03.2025г. №53, в 2025 году была проведена оценка эффективности и оптимизации льгот по местным налогам и платежам, администрируемым органами местного самоуправления за период 2022-2023 годы (далее – оценка эффективности).</w:t>
      </w:r>
    </w:p>
    <w:p w14:paraId="07DFC163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eastAsia="Calibri" w:cs="Times New Roman"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sz w:val="26"/>
          <w:szCs w:val="26"/>
          <w:lang w:eastAsia="ru-RU"/>
        </w:rPr>
        <w:t>В соответствии с пунктом 2 статьи 387 Налогового Кодекса РФ нормативными правовыми актами представительных органов местного самоуправления на территории Первомайского района дополнительно введены налоговые льготы на земельный налог:</w:t>
      </w:r>
    </w:p>
    <w:p w14:paraId="48A90E36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eastAsia="Calibri" w:cs="Times New Roman"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sz w:val="26"/>
          <w:szCs w:val="26"/>
          <w:lang w:eastAsia="ru-RU"/>
        </w:rPr>
        <w:t>1. Освобождены от налогообложения следующие категории налогоплательщиков:</w:t>
      </w:r>
    </w:p>
    <w:p w14:paraId="257234E3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eastAsia="Calibri" w:cs="Times New Roman"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sz w:val="26"/>
          <w:szCs w:val="26"/>
          <w:lang w:eastAsia="ru-RU"/>
        </w:rPr>
        <w:t>- ветераны и инвалиды Великой Отечественной войны, а также ветераны и инвалиды боевых действий,</w:t>
      </w:r>
    </w:p>
    <w:p w14:paraId="5886B164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eastAsia="Calibri" w:cs="Times New Roman"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sz w:val="26"/>
          <w:szCs w:val="26"/>
          <w:lang w:eastAsia="ru-RU"/>
        </w:rPr>
        <w:t>- инвалиды I,  II и III групп,</w:t>
      </w:r>
    </w:p>
    <w:p w14:paraId="0EFF8B6C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eastAsia="Calibri" w:cs="Times New Roman"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sz w:val="26"/>
          <w:szCs w:val="26"/>
          <w:lang w:eastAsia="ru-RU"/>
        </w:rPr>
        <w:t>- инвалиды с детства,</w:t>
      </w:r>
    </w:p>
    <w:p w14:paraId="45ABA059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eastAsia="Calibri" w:cs="Times New Roman"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sz w:val="26"/>
          <w:szCs w:val="26"/>
          <w:lang w:eastAsia="ru-RU"/>
        </w:rPr>
        <w:t>- органы местного самоуправления,</w:t>
      </w:r>
    </w:p>
    <w:p w14:paraId="56C36172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eastAsia="Calibri" w:cs="Times New Roman"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sz w:val="26"/>
          <w:szCs w:val="26"/>
          <w:lang w:eastAsia="ru-RU"/>
        </w:rPr>
        <w:t>- муниципальные автономные, бюджетные и казённые учреждения, расположенные на территории муниципального образования – в отношении земельных участков, предоставленной для целей их основной деятельности;</w:t>
      </w:r>
    </w:p>
    <w:p w14:paraId="241CA995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eastAsia="Calibri" w:cs="Times New Roman"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sz w:val="26"/>
          <w:szCs w:val="26"/>
          <w:lang w:eastAsia="ru-RU"/>
        </w:rPr>
        <w:t>2 . Уплата налога в пониженном размере:</w:t>
      </w:r>
    </w:p>
    <w:p w14:paraId="07A52879">
      <w:pPr>
        <w:pStyle w:val="11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rFonts w:eastAsia="Calibri"/>
          <w:sz w:val="26"/>
          <w:szCs w:val="26"/>
        </w:rPr>
        <w:t xml:space="preserve">- </w:t>
      </w:r>
      <w:r>
        <w:rPr>
          <w:color w:val="000000"/>
          <w:sz w:val="27"/>
          <w:szCs w:val="27"/>
        </w:rPr>
        <w:t>организациям почтовой связи в отношении земельных участков, используемых для оказания услуг почтовой связи, в размере  0,1 процента ;</w:t>
      </w:r>
    </w:p>
    <w:p w14:paraId="146DCA35">
      <w:pPr>
        <w:pStyle w:val="11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областным государственным учреждениям: казенным, бюджетным и автономным в отношении земельных участков, используемых для целей их основной деятельности, в размере 0,3 процента. </w:t>
      </w:r>
    </w:p>
    <w:p w14:paraId="4787EF69">
      <w:pPr>
        <w:pStyle w:val="11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 результате проведенной оценки эффективности сделан вывод о том, что по итогам 2024 года налоговые льготы по земельному налогу в оптимизации не нуждаются. </w:t>
      </w:r>
    </w:p>
    <w:p w14:paraId="769362B1">
      <w:pPr>
        <w:pStyle w:val="11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 налогу на имущество физических лиц установлены льготы в соответствии с федеральным законодательством.</w:t>
      </w:r>
    </w:p>
    <w:p w14:paraId="749E1659">
      <w:pPr>
        <w:pStyle w:val="11"/>
        <w:spacing w:before="0" w:beforeAutospacing="0" w:after="0" w:afterAutospacing="0"/>
        <w:ind w:firstLine="708"/>
        <w:jc w:val="both"/>
        <w:rPr>
          <w:color w:val="FF0000"/>
          <w:sz w:val="27"/>
          <w:szCs w:val="27"/>
        </w:rPr>
      </w:pPr>
      <w:r>
        <w:rPr>
          <w:color w:val="FF0000"/>
          <w:sz w:val="27"/>
          <w:szCs w:val="27"/>
        </w:rPr>
        <w:t xml:space="preserve">В целях увеличения налоговой базы района была продолжена работа по выявлению объектов, не включенных в Перечень объектов недвижимого имущества в соответствии со статьей 378.2 Налогового кодекса Российской Федерации, в отношении которых налоговая база по налогу на имущество физических лиц определяется как кадастровая стоимость (далее - Перечень). К таким объектам отнесены административно-деловые центры, торговые центры, офисные помещения, объекты общественного питания и бытового обслуживания. </w:t>
      </w:r>
      <w:bookmarkStart w:id="0" w:name="_GoBack"/>
      <w:bookmarkEnd w:id="0"/>
    </w:p>
    <w:p w14:paraId="5F94B320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eastAsia="Calibri" w:cs="Times New Roman"/>
          <w:b/>
          <w:i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>Изменение налогооблажения доходов</w:t>
      </w:r>
      <w:r>
        <w:rPr>
          <w:rFonts w:ascii="Times New Roman" w:hAnsi="Times New Roman" w:eastAsia="Calibri" w:cs="Times New Roman"/>
          <w:b/>
          <w:sz w:val="26"/>
          <w:szCs w:val="26"/>
        </w:rPr>
        <w:t xml:space="preserve"> на федеральном уровне </w:t>
      </w:r>
      <w:r>
        <w:rPr>
          <w:rFonts w:ascii="Times New Roman" w:hAnsi="Times New Roman" w:eastAsia="Calibri" w:cs="Times New Roman"/>
          <w:b/>
          <w:i/>
          <w:sz w:val="26"/>
          <w:szCs w:val="26"/>
        </w:rPr>
        <w:t>с 2025 года.</w:t>
      </w:r>
    </w:p>
    <w:p w14:paraId="5FA6F5D5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b/>
          <w:i/>
          <w:sz w:val="26"/>
          <w:szCs w:val="26"/>
        </w:rPr>
      </w:pPr>
      <w:r>
        <w:rPr>
          <w:rFonts w:ascii="Times New Roman" w:hAnsi="Times New Roman" w:eastAsia="Calibri" w:cs="Times New Roman"/>
          <w:b/>
          <w:i/>
          <w:sz w:val="26"/>
          <w:szCs w:val="26"/>
        </w:rPr>
        <w:t>По налогу на доходы физических лиц (далее – НДВЛ.</w:t>
      </w:r>
    </w:p>
    <w:p w14:paraId="66D5FD56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Введены деффиренцированные ставки по НДФЛ в  зависимости от уровня годового дохода физического лица.</w:t>
      </w:r>
    </w:p>
    <w:p w14:paraId="72B53D4C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Увеличены в 2 раза стандартные вычеты на второго ребенка с 1400 до 2800 рублей и последующих детей с 3000 до 6000 рублей. </w:t>
      </w:r>
    </w:p>
    <w:p w14:paraId="6B6F28C3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Увеличен предельный размер доходов, для налогового вычета, с 350 тыс. рублей до 450 тыс. рублей</w:t>
      </w:r>
    </w:p>
    <w:p w14:paraId="6C8958FC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Кроме того, с 2025 года введен новый стандартный налоговый вычет по НДФЛ в размере 18 000 рублей за год для лиц, которые выполнили нормативы испытаний Всероссийского физкультурно-спортивного комплекса «Готов к труду и обороне», были награждены знаком отличия и прошли диспансеризацию. </w:t>
      </w:r>
    </w:p>
    <w:p w14:paraId="0E6C8841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 2025 года введена ежегодная выплата работающим родителям, имеющим двух и более детей. Семьи с детьми с доходом менее 1,5 прожиточного минимума смогут снизить фактическую ставку НДФЛ с 13% до 6%. Вычет можно получить, начиная с 2026 года за 2025 год.</w:t>
      </w:r>
    </w:p>
    <w:p w14:paraId="3812D657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 1 января 2024 года установлены два срока ежемесячного перечисления налоговыми агентами НДФЛ (не позднее 28-го числа текущего месяца; не позднее 5-го числа следующего месяца).</w:t>
      </w:r>
    </w:p>
    <w:p w14:paraId="51E31EC9">
      <w:pPr>
        <w:tabs>
          <w:tab w:val="left" w:pos="1134"/>
        </w:tabs>
        <w:spacing w:after="0"/>
        <w:ind w:firstLine="709"/>
        <w:jc w:val="both"/>
        <w:rPr>
          <w:rFonts w:ascii="PT Astra Serif" w:hAnsi="PT Astra Serif"/>
          <w:b/>
          <w:i/>
          <w:sz w:val="26"/>
          <w:szCs w:val="26"/>
        </w:rPr>
      </w:pPr>
      <w:r>
        <w:rPr>
          <w:rFonts w:ascii="PT Astra Serif" w:hAnsi="PT Astra Serif"/>
          <w:b/>
          <w:i/>
          <w:sz w:val="26"/>
          <w:szCs w:val="26"/>
        </w:rPr>
        <w:t>По налогу, взимаемому в связи с применением упрощенной системы налогообложения (далее - УСН).</w:t>
      </w:r>
    </w:p>
    <w:p w14:paraId="0AC015EE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 2025 года увеличены «лимиты» по условиям для УСН:</w:t>
      </w:r>
    </w:p>
    <w:p w14:paraId="73E063EE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доходы за 9 месяцев (для перехода на УСН) — со 112,5 млн. рублей до 337,5 млн. рублей;</w:t>
      </w:r>
    </w:p>
    <w:p w14:paraId="6B437E7B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средняя численность работников — со 100 человек до 130 человек;</w:t>
      </w:r>
    </w:p>
    <w:p w14:paraId="4D830711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остаточная стоимость основных средств — со 150 млн. рублей до 200 млн. рублей;</w:t>
      </w:r>
    </w:p>
    <w:p w14:paraId="193D2B95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предельный лимит годового дохода — с 200 млн. рублей до 450 млн. рублей в 2025 году.</w:t>
      </w:r>
    </w:p>
    <w:p w14:paraId="749F86BB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Все вышеуказанные величины, кроме численности, подлежат годовой индексации.</w:t>
      </w:r>
    </w:p>
    <w:p w14:paraId="6A03DC50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Вместе с тем, одновременно вводится обязанность по уплате налога на добавленную стоимость (далее - НДС) для налогоплательщиков с доходами более 60 млн. рублей.</w:t>
      </w:r>
    </w:p>
    <w:p w14:paraId="77851925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Кроме того, устанавливаются пониженные ставки по уплате НДС в размере: </w:t>
      </w:r>
    </w:p>
    <w:p w14:paraId="0AC2653D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- 5%, если сумма доходов не превысила 250 млн. рублей;</w:t>
      </w:r>
    </w:p>
    <w:p w14:paraId="7933A7F8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- 7%, если сумма доходов не превысила 450 млн. рублей. </w:t>
      </w:r>
    </w:p>
    <w:p w14:paraId="0C0BEE3A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При этом налогоплательщики, осуществляющие исчисление и уплату НДС по пониженным ставкам, лишены права на налоговые вычеты по такому налогу.</w:t>
      </w:r>
    </w:p>
    <w:p w14:paraId="20DC1D47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На </w:t>
      </w:r>
      <w:r>
        <w:rPr>
          <w:rFonts w:ascii="PT Astra Serif" w:hAnsi="PT Astra Serif"/>
          <w:b/>
          <w:sz w:val="26"/>
          <w:szCs w:val="26"/>
        </w:rPr>
        <w:t xml:space="preserve">региональном уровне, </w:t>
      </w:r>
      <w:r>
        <w:rPr>
          <w:rFonts w:ascii="PT Astra Serif" w:hAnsi="PT Astra Serif"/>
          <w:sz w:val="26"/>
          <w:szCs w:val="26"/>
        </w:rPr>
        <w:t>в 2024 году были внесены следующие изменения:</w:t>
      </w:r>
    </w:p>
    <w:p w14:paraId="7D1738DF">
      <w:pPr>
        <w:pStyle w:val="26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1. С 2025 года в целях оказания меры поддержки субъектам малого и среднего предпринимательства по УСН с объектом налогообложения «доходы, уменьшенные на величину расходов» сохранено действие пониженной ставки в размере 10% (15 % - максимально возможной в Налоговом Кодексе Российской Федерации) для следующих категорий:</w:t>
      </w:r>
    </w:p>
    <w:p w14:paraId="72A3602D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для организаций и индивидуальных предпринимателей, зарегистрированных в населенных пунктах Томской области с численностью населения менее 3 000 человек. Срок действия пониженной ставки не ограничен;</w:t>
      </w:r>
    </w:p>
    <w:p w14:paraId="29C7F376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для организаций и индивидуальных предпринимателей, осуществляющих деятельность в населенных пунктах Томской области с численностью населения более 3 000 человек, при условии выплаты заработной платы в расчете на одного наемного работника в размере двух с половиной МРОТ, установленного на начало налогового периода, без учета фактически отработанного времени. Срок действия льготы - 3 года при условии сохранения численности наемных работников в налоговом периоде - не менее численности наемных работников по состоянию на 1 января года, предшествующего налоговому периоду.</w:t>
      </w:r>
    </w:p>
    <w:p w14:paraId="05CA822E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Для организаций и индивидуальных предпринимателей, осуществляющих деятельность в населенных пунктах Томской области с численностью населения более 3 000 человек, но не выполняющих условие по уровню заработной платы и численности наемных работников, на переходный период – 2025 год,  установлена пониженная ставка - 12%;</w:t>
      </w:r>
    </w:p>
    <w:p w14:paraId="389C2504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Для остальных налогоплательщиков УСН с объектом налогообложения «доходы-расходы» установлена ставка в размере 15%.</w:t>
      </w:r>
    </w:p>
    <w:p w14:paraId="73F5E509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 По ПСН с 2025 года введена ежегодная индексация размеров потенциально возможного к получению индивидуальным предпринимателем годового дохода на коэффициент-дефлятор, установленный на соответствующий календарный год</w:t>
      </w:r>
    </w:p>
    <w:p w14:paraId="0AD00198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3. Продлены до 1 января 2027 года «налоговые каникулы» по УСН и ПСН для индивидуальных предпринимателей, впервые зарегистрированных и осуществляющих предпринимательскую деятельность в производственной, социальной и (или) научной сферах, а также в сфере бытовых услуг населению согласно установленному перечню.</w:t>
      </w:r>
    </w:p>
    <w:p w14:paraId="5F7A65E7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 На 2025 год размер коэффициента, отражающий региональные особенности рынка труда, установлен в размере 2,72777, в связи с чем, стоимость патента для иностранных граждан составляет 8 491,0 рублей в месяц (в 2024 году –размер коэффициента установлен в размере 2, а стоимость патента, соответственно – 5 760,0 рублей в месяц).</w:t>
      </w:r>
    </w:p>
    <w:p w14:paraId="06AE0625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Кроме того, постановлением Губернатора Томской области от 16.07.2024 № 60 «Об установлении на 2024 год запрета на привлечение хозяйствующими субъектами, осуществляющими деятельность на территории Томской области, иностранных граждан, осуществляющих трудовую деятельность на основании патентов, по отдельным видам экономической деятельности» с 01.11.2024 года введён на территории Томской области запрет на привлечение хозяйствующими субъектами иностранных граждан, осуществляющих трудовую деятельность на основании патентов, по 20-ти видам экономической деятельности (в том числе производство хлеба и мучных кондитерских изделий, готовых пищевых продуктов, детского питания; торговля: розничная в неспециализированных магазинах, в специализированных магазинах пищевыми продуктами, напитками, табачными изделиями, телекоммуникационным оборудованием; деятельность сухопутного пассажирского транспорта, такси, по предоставлению мест для временного проживания, в сфере телекоммуникаций и информационных услуг, по трудоустройству и подбору персонала, по обеспечению безопасности, в области спорта; общее, профессиональное, среднее и высшее образование).</w:t>
      </w:r>
    </w:p>
    <w:p w14:paraId="13C972B0">
      <w:pPr>
        <w:pStyle w:val="26"/>
        <w:tabs>
          <w:tab w:val="left" w:pos="1134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</w:p>
    <w:p w14:paraId="425698C8">
      <w:pPr>
        <w:pStyle w:val="26"/>
        <w:tabs>
          <w:tab w:val="left" w:pos="1134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Основные направления налоговой политики, планируемые к реализации в 2025 году и в плановом периоде 2026 и 2027 годов</w:t>
      </w:r>
    </w:p>
    <w:p w14:paraId="3AEF378D">
      <w:pPr>
        <w:pStyle w:val="26"/>
        <w:tabs>
          <w:tab w:val="left" w:pos="1134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</w:p>
    <w:p w14:paraId="264892E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>Основные направления налоговой политики на 2025 год и на плановый период 2026 и 2027 годов будут направлены на сохранение условий для поддержания устойчивого роста  экономики района, предпринимательской и инвестиционной активности, а так же на сохранение  бюджетной устойчивости, получения необходимого объема  бюджетных доходов и обеспечение  сбалансированности  местного бюджета.</w:t>
      </w:r>
    </w:p>
    <w:p w14:paraId="4352FA52">
      <w:pPr>
        <w:spacing w:after="0" w:line="240" w:lineRule="auto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Налоговая политика района  будет выстраиваться  с учетом  изменений федерального и регионального законодательства и последствий их принятия для доходной части местного бюджета.  Она будет  ориентирована  на создание максимально комфортных условий   для  расширения экономической деятельности,  особенно в области малого предпринимательства, а также на дальнейшее снижение масштабов уклонения от налогообложения.</w:t>
      </w:r>
    </w:p>
    <w:p w14:paraId="5EE36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предстоящий трехлетний  период можно выделить  несколько направлений налоговой политики, которые окажут влияние на формирование доходной части  местного  бюджета:</w:t>
      </w:r>
    </w:p>
    <w:p w14:paraId="5E56529F">
      <w:pPr>
        <w:pStyle w:val="26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Меры по стимулированию  развития малого предпринимательства:</w:t>
      </w:r>
    </w:p>
    <w:p w14:paraId="31A20338">
      <w:pPr>
        <w:numPr>
          <w:ilvl w:val="1"/>
          <w:numId w:val="1"/>
        </w:numPr>
        <w:tabs>
          <w:tab w:val="clear" w:pos="1789"/>
        </w:tabs>
        <w:spacing w:after="0" w:line="240" w:lineRule="auto"/>
        <w:ind w:left="0" w:firstLine="4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финансовая поддержка  начинающих предпринимателей;</w:t>
      </w:r>
    </w:p>
    <w:p w14:paraId="033E1AE2">
      <w:pPr>
        <w:numPr>
          <w:ilvl w:val="1"/>
          <w:numId w:val="1"/>
        </w:numPr>
        <w:tabs>
          <w:tab w:val="clear" w:pos="1789"/>
        </w:tabs>
        <w:spacing w:after="0" w:line="240" w:lineRule="auto"/>
        <w:ind w:left="0" w:firstLine="4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реализация  мероприятий  по имущественной поддержке субъектов малого и среднего предпринимательства;</w:t>
      </w:r>
    </w:p>
    <w:p w14:paraId="28F9575A">
      <w:pPr>
        <w:numPr>
          <w:ilvl w:val="1"/>
          <w:numId w:val="1"/>
        </w:numPr>
        <w:tabs>
          <w:tab w:val="clear" w:pos="1789"/>
        </w:tabs>
        <w:spacing w:after="0" w:line="240" w:lineRule="auto"/>
        <w:ind w:left="0" w:firstLine="4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информационно-консультационная поддержка на базе районного центра поддержки предпринимательства – НП «Первомайский Бизнес-Центр». </w:t>
      </w:r>
    </w:p>
    <w:p w14:paraId="2E65C2AE">
      <w:pPr>
        <w:pStyle w:val="2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Меры по повышению собираемости налогов и снижение уровня недоимки:</w:t>
      </w:r>
    </w:p>
    <w:p w14:paraId="54AB0D2A">
      <w:pPr>
        <w:numPr>
          <w:ilvl w:val="0"/>
          <w:numId w:val="2"/>
        </w:numPr>
        <w:tabs>
          <w:tab w:val="left" w:pos="0"/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совершенствование налогового администрирования путем усиления взаимодействия с налоговыми органами по реализации комплекса мер, направленных на обеспечение полноты и своевременности поступлений доходов в  местный бюджет, усиление мер воздействия на плательщиков, имеющих задолженность по платежам, поступающим в местный бюджет;</w:t>
      </w:r>
    </w:p>
    <w:p w14:paraId="225D4727">
      <w:pPr>
        <w:numPr>
          <w:ilvl w:val="0"/>
          <w:numId w:val="2"/>
        </w:numPr>
        <w:tabs>
          <w:tab w:val="left" w:pos="0"/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продолжение работы межведомственной комиссии при Администрации Первомайского района с целью укрепления налоговой и бюджетной дисциплины,  увеличения налоговых поступлений, сокращения недоимки в местный  бюджет;</w:t>
      </w:r>
    </w:p>
    <w:p w14:paraId="7AE423CE">
      <w:pPr>
        <w:numPr>
          <w:ilvl w:val="0"/>
          <w:numId w:val="2"/>
        </w:numPr>
        <w:tabs>
          <w:tab w:val="left" w:pos="0"/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выявление организаций и индивидуальных предпринимателей, выплачивающих заработную плату ниже прожиточного минимума, установленного распоряжением Губернатора Томской области,  совершенствования методов контроля легализации «теневой» заработной платы, выявление организаций, имеющих просроченную задолженность по выплате заработной платы;</w:t>
      </w:r>
    </w:p>
    <w:p w14:paraId="3D353C25">
      <w:pPr>
        <w:numPr>
          <w:ilvl w:val="0"/>
          <w:numId w:val="3"/>
        </w:numPr>
        <w:tabs>
          <w:tab w:val="left" w:pos="0"/>
          <w:tab w:val="clear" w:pos="1485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выявление организаций и индивидуальных предпринимателей,  представляющих нулевую отчетность в налоговые органы при наличии фактически      осуществляемой финансово-хозяйственной деятельности;</w:t>
      </w:r>
    </w:p>
    <w:p w14:paraId="49E230AB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clear" w:pos="1485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>расширения налоговой базы по имущественным налогам путем выявления и включения в налогооблагаемую базу недвижимого имущества и земельных участков, которые до настоящего времени не зарегистрированы;</w:t>
      </w:r>
    </w:p>
    <w:p w14:paraId="6CB79CB2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  обеспечение публичности и прозрачности процесса принятия муниципальных      правовых актов в области налогообложения.</w:t>
      </w:r>
    </w:p>
    <w:p w14:paraId="6FD2C4E1">
      <w:pPr>
        <w:pStyle w:val="2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Меры по  увеличению  неналоговых доходов местного бюджета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6BB7D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повышение эффективности управления муниципальным имуществом, обеспечение качественного учета имущества, находящегося в собственности    района, осуществление контроля за использованием объектов муниципальной    собственности;   </w:t>
      </w:r>
    </w:p>
    <w:p w14:paraId="5816920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проведение работ по регистрации земельных участков в муниципальную   собственность в   целях разграничения государственной собственности на землю и включения их в реестр объектов муниципальной собственности для обеспечения роста доли поступлений арендной платы за землю в местный бюджет;</w:t>
      </w:r>
    </w:p>
    <w:p w14:paraId="63643F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реализация комплекса мероприятий по вовлечению земельных участков в        хозяйственный оборот (собственность, аренда), направленных на повышение     удельного веса земельных участков с оформленными правами;</w:t>
      </w:r>
    </w:p>
    <w:p w14:paraId="67EDF8B1">
      <w:pPr>
        <w:numPr>
          <w:ilvl w:val="0"/>
          <w:numId w:val="3"/>
        </w:numPr>
        <w:tabs>
          <w:tab w:val="clear" w:pos="14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усиление претензионной работы в отношении должников арендаторов  муниципального имущества и земли;</w:t>
      </w:r>
    </w:p>
    <w:p w14:paraId="71EA422B">
      <w:pPr>
        <w:numPr>
          <w:ilvl w:val="0"/>
          <w:numId w:val="3"/>
        </w:numPr>
        <w:tabs>
          <w:tab w:val="clear" w:pos="14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информирование  владельцев  объектов недвижимости о порядке  постановки на кадастровый учет недвижимого имущества и регистрации права     собственности на них, передача в налоговую службу уточненных сведений о      правообладателях ранее учтенных участков и объектов недвижимости.</w:t>
      </w:r>
    </w:p>
    <w:p w14:paraId="67644853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</w:p>
    <w:p w14:paraId="517B95E4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Изменения вносимые на федеральном уровне с 2026 года:</w:t>
      </w:r>
    </w:p>
    <w:p w14:paraId="40802C52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Новые правила сдачи уведомлений по налогам и сборам:</w:t>
      </w:r>
    </w:p>
    <w:p w14:paraId="473BE658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по НДФЛ и страховым взносам в одном уведомлении можно будет отражать суммы за несколько будущих периодов (до 2026 года уведомление об НДФЛ следовало подавать два раза в месяц — не позднее 3-го и 25-го числа);</w:t>
      </w:r>
    </w:p>
    <w:p w14:paraId="777980D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i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с 2027 года планируется отменить обязанность организаций по исчислению транспортного налога, земельного налога и налога на имущество организаций, исчисляемого исходя из кадастровой стоимости, с возложением этой обязанности на налоговые органы </w:t>
      </w:r>
      <w:r>
        <w:rPr>
          <w:rFonts w:ascii="PT Astra Serif" w:hAnsi="PT Astra Serif"/>
          <w:i/>
          <w:sz w:val="26"/>
          <w:szCs w:val="26"/>
        </w:rPr>
        <w:t>(проект федерального закона размещен на Федеральном портале проектов нормативных правовых актов (ID проекта 02/04/01-25/00154001).</w:t>
      </w:r>
    </w:p>
    <w:p w14:paraId="6952C441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Изменения по НДФЛ:</w:t>
      </w:r>
    </w:p>
    <w:p w14:paraId="6F7921AF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увеличение не облагаемой НДФЛ суммы единовременной материальной помощи, выплачиваемой работодателем в течение первого года после рождения или усыновления ребенка, с 50 тыс. рублей до 1 млн. рублей (Федеральный закон от 23.07.2025 № 227-ФЗ «О внесении изменений в часть вторую Налогового кодекса Российской Федерации»);</w:t>
      </w:r>
    </w:p>
    <w:p w14:paraId="19FEE9E6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предельную величину дохода (450 тыс. рублей) для стандартного вычета на ребёнка  определять только по доходам из основной налоговой базы.</w:t>
      </w:r>
    </w:p>
    <w:p w14:paraId="6FE8BEEC">
      <w:pPr>
        <w:pStyle w:val="26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i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Установление льготы</w:t>
      </w:r>
      <w:r>
        <w:rPr>
          <w:rFonts w:ascii="PT Astra Serif" w:hAnsi="PT Astra Serif"/>
          <w:sz w:val="26"/>
          <w:szCs w:val="26"/>
        </w:rPr>
        <w:t xml:space="preserve"> по транспортному налогу, земельному налогу для участников специальной военной операции и членов их семей </w:t>
      </w:r>
      <w:r>
        <w:rPr>
          <w:rFonts w:ascii="PT Astra Serif" w:hAnsi="PT Astra Serif"/>
          <w:i/>
          <w:sz w:val="26"/>
          <w:szCs w:val="26"/>
        </w:rPr>
        <w:t>(проект федерального закона размещен на Федеральном портале проектов нормативных правовых актов (ID: 02/04/01-25/00154001).</w:t>
      </w:r>
    </w:p>
    <w:p w14:paraId="694547F7">
      <w:pPr>
        <w:pStyle w:val="12"/>
        <w:ind w:left="-181" w:right="-6" w:firstLine="539"/>
        <w:rPr>
          <w:b/>
          <w:sz w:val="26"/>
          <w:szCs w:val="26"/>
        </w:rPr>
      </w:pPr>
    </w:p>
    <w:sectPr>
      <w:pgSz w:w="11906" w:h="16838"/>
      <w:pgMar w:top="993" w:right="567" w:bottom="993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PT Astra Serif">
    <w:altName w:val="Times New Roman"/>
    <w:panose1 w:val="00000000000000000000"/>
    <w:charset w:val="CC"/>
    <w:family w:val="roman"/>
    <w:pitch w:val="default"/>
    <w:sig w:usb0="00000000" w:usb1="00000000" w:usb2="00000020" w:usb3="00000000" w:csb0="00000097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7667B7"/>
    <w:multiLevelType w:val="multilevel"/>
    <w:tmpl w:val="2C7667B7"/>
    <w:lvl w:ilvl="0" w:tentative="0">
      <w:start w:val="1"/>
      <w:numFmt w:val="decimal"/>
      <w:lvlText w:val="%1."/>
      <w:lvlJc w:val="left"/>
      <w:pPr>
        <w:tabs>
          <w:tab w:val="left" w:pos="1069"/>
        </w:tabs>
        <w:ind w:left="1069" w:hanging="360"/>
      </w:pPr>
      <w:rPr>
        <w:rFonts w:hint="default"/>
      </w:rPr>
    </w:lvl>
    <w:lvl w:ilvl="1" w:tentative="0">
      <w:start w:val="1"/>
      <w:numFmt w:val="bullet"/>
      <w:lvlText w:val=""/>
      <w:lvlJc w:val="left"/>
      <w:pPr>
        <w:tabs>
          <w:tab w:val="left" w:pos="1789"/>
        </w:tabs>
        <w:ind w:left="1789" w:hanging="360"/>
      </w:pPr>
      <w:rPr>
        <w:rFonts w:hint="default" w:ascii="Symbol" w:hAnsi="Symbol"/>
        <w:color w:val="auto"/>
      </w:rPr>
    </w:lvl>
    <w:lvl w:ilvl="2" w:tentative="0">
      <w:start w:val="1"/>
      <w:numFmt w:val="lowerRoman"/>
      <w:lvlText w:val="%3."/>
      <w:lvlJc w:val="right"/>
      <w:pPr>
        <w:tabs>
          <w:tab w:val="left" w:pos="2509"/>
        </w:tabs>
        <w:ind w:left="2509" w:hanging="180"/>
      </w:pPr>
    </w:lvl>
    <w:lvl w:ilvl="3" w:tentative="0">
      <w:start w:val="1"/>
      <w:numFmt w:val="decimal"/>
      <w:lvlText w:val="%4."/>
      <w:lvlJc w:val="left"/>
      <w:pPr>
        <w:tabs>
          <w:tab w:val="left" w:pos="3229"/>
        </w:tabs>
        <w:ind w:left="3229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949"/>
        </w:tabs>
        <w:ind w:left="3949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669"/>
        </w:tabs>
        <w:ind w:left="4669" w:hanging="180"/>
      </w:pPr>
    </w:lvl>
    <w:lvl w:ilvl="6" w:tentative="0">
      <w:start w:val="1"/>
      <w:numFmt w:val="decimal"/>
      <w:lvlText w:val="%7."/>
      <w:lvlJc w:val="left"/>
      <w:pPr>
        <w:tabs>
          <w:tab w:val="left" w:pos="5389"/>
        </w:tabs>
        <w:ind w:left="5389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109"/>
        </w:tabs>
        <w:ind w:left="6109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829"/>
        </w:tabs>
        <w:ind w:left="6829" w:hanging="180"/>
      </w:pPr>
    </w:lvl>
  </w:abstractNum>
  <w:abstractNum w:abstractNumId="1">
    <w:nsid w:val="35467728"/>
    <w:multiLevelType w:val="multilevel"/>
    <w:tmpl w:val="35467728"/>
    <w:lvl w:ilvl="0" w:tentative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7107686D"/>
    <w:multiLevelType w:val="multilevel"/>
    <w:tmpl w:val="7107686D"/>
    <w:lvl w:ilvl="0" w:tentative="0">
      <w:start w:val="1"/>
      <w:numFmt w:val="bullet"/>
      <w:lvlText w:val=""/>
      <w:lvlJc w:val="left"/>
      <w:pPr>
        <w:tabs>
          <w:tab w:val="left" w:pos="1485"/>
        </w:tabs>
        <w:ind w:left="1485" w:hanging="360"/>
      </w:pPr>
      <w:rPr>
        <w:rFonts w:hint="default" w:ascii="Symbol" w:hAnsi="Symbol"/>
        <w:color w:val="auto"/>
      </w:rPr>
    </w:lvl>
    <w:lvl w:ilvl="1" w:tentative="0">
      <w:start w:val="1"/>
      <w:numFmt w:val="decimal"/>
      <w:lvlText w:val="%2."/>
      <w:lvlJc w:val="left"/>
      <w:pPr>
        <w:tabs>
          <w:tab w:val="left" w:pos="2205"/>
        </w:tabs>
        <w:ind w:left="2205" w:hanging="360"/>
      </w:pPr>
      <w:rPr>
        <w:rFonts w:hint="default"/>
        <w:color w:val="auto"/>
      </w:rPr>
    </w:lvl>
    <w:lvl w:ilvl="2" w:tentative="0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hint="default" w:ascii="Symbol" w:hAnsi="Symbol"/>
        <w:color w:val="auto"/>
      </w:rPr>
    </w:lvl>
    <w:lvl w:ilvl="3" w:tentative="0">
      <w:start w:val="1"/>
      <w:numFmt w:val="bullet"/>
      <w:lvlText w:val=""/>
      <w:lvlJc w:val="left"/>
      <w:pPr>
        <w:tabs>
          <w:tab w:val="left" w:pos="3645"/>
        </w:tabs>
        <w:ind w:left="364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4365"/>
        </w:tabs>
        <w:ind w:left="436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5085"/>
        </w:tabs>
        <w:ind w:left="508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805"/>
        </w:tabs>
        <w:ind w:left="580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525"/>
        </w:tabs>
        <w:ind w:left="652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7245"/>
        </w:tabs>
        <w:ind w:left="724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F1D55"/>
    <w:rsid w:val="000106E8"/>
    <w:rsid w:val="000132B5"/>
    <w:rsid w:val="00025592"/>
    <w:rsid w:val="000276E3"/>
    <w:rsid w:val="00041269"/>
    <w:rsid w:val="00042BF9"/>
    <w:rsid w:val="00042C8E"/>
    <w:rsid w:val="00051FA8"/>
    <w:rsid w:val="00055A83"/>
    <w:rsid w:val="00096E34"/>
    <w:rsid w:val="000972A5"/>
    <w:rsid w:val="000A66DE"/>
    <w:rsid w:val="000B533E"/>
    <w:rsid w:val="000D1664"/>
    <w:rsid w:val="000D262E"/>
    <w:rsid w:val="000D418D"/>
    <w:rsid w:val="000D5DA8"/>
    <w:rsid w:val="000D6F00"/>
    <w:rsid w:val="000E2204"/>
    <w:rsid w:val="000F2726"/>
    <w:rsid w:val="000F47A6"/>
    <w:rsid w:val="000F6653"/>
    <w:rsid w:val="00100B2E"/>
    <w:rsid w:val="00103D28"/>
    <w:rsid w:val="00105592"/>
    <w:rsid w:val="00107190"/>
    <w:rsid w:val="00112A88"/>
    <w:rsid w:val="00117142"/>
    <w:rsid w:val="00117A86"/>
    <w:rsid w:val="0013231D"/>
    <w:rsid w:val="0013710E"/>
    <w:rsid w:val="001520C9"/>
    <w:rsid w:val="00166A91"/>
    <w:rsid w:val="00172FBA"/>
    <w:rsid w:val="00174A96"/>
    <w:rsid w:val="00177BC6"/>
    <w:rsid w:val="0018594E"/>
    <w:rsid w:val="00187BF2"/>
    <w:rsid w:val="001920EB"/>
    <w:rsid w:val="0019580F"/>
    <w:rsid w:val="001973EE"/>
    <w:rsid w:val="001A5691"/>
    <w:rsid w:val="001B2B07"/>
    <w:rsid w:val="001B4D62"/>
    <w:rsid w:val="001C495A"/>
    <w:rsid w:val="001C5676"/>
    <w:rsid w:val="001D20ED"/>
    <w:rsid w:val="001D4BA6"/>
    <w:rsid w:val="001D5221"/>
    <w:rsid w:val="001D607D"/>
    <w:rsid w:val="001E3246"/>
    <w:rsid w:val="001E3C32"/>
    <w:rsid w:val="001E74DC"/>
    <w:rsid w:val="001F3DB7"/>
    <w:rsid w:val="001F7113"/>
    <w:rsid w:val="00210BF7"/>
    <w:rsid w:val="00210D30"/>
    <w:rsid w:val="002136AF"/>
    <w:rsid w:val="0022531D"/>
    <w:rsid w:val="00240963"/>
    <w:rsid w:val="002444BA"/>
    <w:rsid w:val="002520F1"/>
    <w:rsid w:val="00256C93"/>
    <w:rsid w:val="0026262F"/>
    <w:rsid w:val="00284A09"/>
    <w:rsid w:val="0029211F"/>
    <w:rsid w:val="0029225E"/>
    <w:rsid w:val="002943C2"/>
    <w:rsid w:val="00296E38"/>
    <w:rsid w:val="002A6A93"/>
    <w:rsid w:val="002B38B8"/>
    <w:rsid w:val="002C36BB"/>
    <w:rsid w:val="002C6707"/>
    <w:rsid w:val="002E0EF5"/>
    <w:rsid w:val="002E17D1"/>
    <w:rsid w:val="002E327C"/>
    <w:rsid w:val="002F4670"/>
    <w:rsid w:val="002F5AA5"/>
    <w:rsid w:val="00302FD8"/>
    <w:rsid w:val="00303DDD"/>
    <w:rsid w:val="00305265"/>
    <w:rsid w:val="003110E0"/>
    <w:rsid w:val="00320F95"/>
    <w:rsid w:val="00321A65"/>
    <w:rsid w:val="00321FD9"/>
    <w:rsid w:val="00323F92"/>
    <w:rsid w:val="003307CB"/>
    <w:rsid w:val="00345405"/>
    <w:rsid w:val="00345A8D"/>
    <w:rsid w:val="00350A9F"/>
    <w:rsid w:val="00356136"/>
    <w:rsid w:val="003717E6"/>
    <w:rsid w:val="00373A2C"/>
    <w:rsid w:val="00376CE1"/>
    <w:rsid w:val="00380DEC"/>
    <w:rsid w:val="00385076"/>
    <w:rsid w:val="003A2916"/>
    <w:rsid w:val="003B63EB"/>
    <w:rsid w:val="003C1B06"/>
    <w:rsid w:val="003C46FD"/>
    <w:rsid w:val="003D1F16"/>
    <w:rsid w:val="003D2CA1"/>
    <w:rsid w:val="003D540F"/>
    <w:rsid w:val="003D5FB8"/>
    <w:rsid w:val="003F1D55"/>
    <w:rsid w:val="003F3823"/>
    <w:rsid w:val="003F55BA"/>
    <w:rsid w:val="00402924"/>
    <w:rsid w:val="00404A04"/>
    <w:rsid w:val="00412FC1"/>
    <w:rsid w:val="004274B8"/>
    <w:rsid w:val="00433269"/>
    <w:rsid w:val="00435A7C"/>
    <w:rsid w:val="00441154"/>
    <w:rsid w:val="00441930"/>
    <w:rsid w:val="00441B70"/>
    <w:rsid w:val="00454C59"/>
    <w:rsid w:val="0045565F"/>
    <w:rsid w:val="00456FD1"/>
    <w:rsid w:val="004575CD"/>
    <w:rsid w:val="00462E09"/>
    <w:rsid w:val="00463BDE"/>
    <w:rsid w:val="00464614"/>
    <w:rsid w:val="004653D7"/>
    <w:rsid w:val="00476316"/>
    <w:rsid w:val="0048262D"/>
    <w:rsid w:val="004830E7"/>
    <w:rsid w:val="004844BF"/>
    <w:rsid w:val="00485F87"/>
    <w:rsid w:val="00487CF2"/>
    <w:rsid w:val="0049094C"/>
    <w:rsid w:val="00496669"/>
    <w:rsid w:val="004A5DFF"/>
    <w:rsid w:val="004B10BB"/>
    <w:rsid w:val="004D794C"/>
    <w:rsid w:val="004E355B"/>
    <w:rsid w:val="004F0CF2"/>
    <w:rsid w:val="004F1349"/>
    <w:rsid w:val="004F45D5"/>
    <w:rsid w:val="004F74F6"/>
    <w:rsid w:val="00504CB7"/>
    <w:rsid w:val="0051705F"/>
    <w:rsid w:val="005271B5"/>
    <w:rsid w:val="005447B5"/>
    <w:rsid w:val="00544C63"/>
    <w:rsid w:val="005637D7"/>
    <w:rsid w:val="0056786D"/>
    <w:rsid w:val="00581A24"/>
    <w:rsid w:val="00583860"/>
    <w:rsid w:val="0058576F"/>
    <w:rsid w:val="0059367F"/>
    <w:rsid w:val="005A2C29"/>
    <w:rsid w:val="005A3120"/>
    <w:rsid w:val="005C0112"/>
    <w:rsid w:val="005C1E12"/>
    <w:rsid w:val="005C57FB"/>
    <w:rsid w:val="005E09B9"/>
    <w:rsid w:val="005E74CC"/>
    <w:rsid w:val="005F638E"/>
    <w:rsid w:val="006013EA"/>
    <w:rsid w:val="00610B92"/>
    <w:rsid w:val="0061477E"/>
    <w:rsid w:val="006214B2"/>
    <w:rsid w:val="00624ED2"/>
    <w:rsid w:val="00632F17"/>
    <w:rsid w:val="00645351"/>
    <w:rsid w:val="006527E2"/>
    <w:rsid w:val="00656CFC"/>
    <w:rsid w:val="00664230"/>
    <w:rsid w:val="006708EB"/>
    <w:rsid w:val="0067140D"/>
    <w:rsid w:val="0068418A"/>
    <w:rsid w:val="006914E9"/>
    <w:rsid w:val="006A3D49"/>
    <w:rsid w:val="006A4A3F"/>
    <w:rsid w:val="006B3ADF"/>
    <w:rsid w:val="006B3E09"/>
    <w:rsid w:val="006C31E5"/>
    <w:rsid w:val="006D0670"/>
    <w:rsid w:val="006D6F40"/>
    <w:rsid w:val="006E41FC"/>
    <w:rsid w:val="006E5968"/>
    <w:rsid w:val="006E6ACB"/>
    <w:rsid w:val="006F49D2"/>
    <w:rsid w:val="006F7869"/>
    <w:rsid w:val="007036A5"/>
    <w:rsid w:val="007039D6"/>
    <w:rsid w:val="00716F49"/>
    <w:rsid w:val="00733133"/>
    <w:rsid w:val="007332BD"/>
    <w:rsid w:val="007376A7"/>
    <w:rsid w:val="00741F73"/>
    <w:rsid w:val="00742595"/>
    <w:rsid w:val="00754453"/>
    <w:rsid w:val="00756AD8"/>
    <w:rsid w:val="00761F37"/>
    <w:rsid w:val="00762DA0"/>
    <w:rsid w:val="00765620"/>
    <w:rsid w:val="007708BD"/>
    <w:rsid w:val="0077237B"/>
    <w:rsid w:val="0077264E"/>
    <w:rsid w:val="00775603"/>
    <w:rsid w:val="00776A7E"/>
    <w:rsid w:val="00790C32"/>
    <w:rsid w:val="00797864"/>
    <w:rsid w:val="007A1EF7"/>
    <w:rsid w:val="007A202C"/>
    <w:rsid w:val="007B1796"/>
    <w:rsid w:val="007B5790"/>
    <w:rsid w:val="007B5DEB"/>
    <w:rsid w:val="007C2CD6"/>
    <w:rsid w:val="007E0776"/>
    <w:rsid w:val="007E5677"/>
    <w:rsid w:val="007E5A0A"/>
    <w:rsid w:val="007F412E"/>
    <w:rsid w:val="007F70CF"/>
    <w:rsid w:val="0080416F"/>
    <w:rsid w:val="008109F6"/>
    <w:rsid w:val="00816CE2"/>
    <w:rsid w:val="008215C8"/>
    <w:rsid w:val="0083269B"/>
    <w:rsid w:val="00835152"/>
    <w:rsid w:val="00836D41"/>
    <w:rsid w:val="00836EA9"/>
    <w:rsid w:val="00837FC9"/>
    <w:rsid w:val="00845AD7"/>
    <w:rsid w:val="00853B5C"/>
    <w:rsid w:val="0085638B"/>
    <w:rsid w:val="00862717"/>
    <w:rsid w:val="00870855"/>
    <w:rsid w:val="0087340B"/>
    <w:rsid w:val="00882B96"/>
    <w:rsid w:val="00886876"/>
    <w:rsid w:val="008946B9"/>
    <w:rsid w:val="00897C3C"/>
    <w:rsid w:val="008A1AED"/>
    <w:rsid w:val="008A5463"/>
    <w:rsid w:val="008B06C0"/>
    <w:rsid w:val="008B321A"/>
    <w:rsid w:val="008C1E75"/>
    <w:rsid w:val="008F5F26"/>
    <w:rsid w:val="00902F9D"/>
    <w:rsid w:val="00905045"/>
    <w:rsid w:val="00920609"/>
    <w:rsid w:val="0092335A"/>
    <w:rsid w:val="00923AB9"/>
    <w:rsid w:val="00930B2A"/>
    <w:rsid w:val="0093661E"/>
    <w:rsid w:val="009405CB"/>
    <w:rsid w:val="00942668"/>
    <w:rsid w:val="0094535A"/>
    <w:rsid w:val="00953CE0"/>
    <w:rsid w:val="009549AA"/>
    <w:rsid w:val="00957E71"/>
    <w:rsid w:val="009659BC"/>
    <w:rsid w:val="00976390"/>
    <w:rsid w:val="009842D0"/>
    <w:rsid w:val="00990176"/>
    <w:rsid w:val="0099420E"/>
    <w:rsid w:val="00996DC3"/>
    <w:rsid w:val="009A36AE"/>
    <w:rsid w:val="009A6BCE"/>
    <w:rsid w:val="009C0B5C"/>
    <w:rsid w:val="009C15A0"/>
    <w:rsid w:val="009D56D6"/>
    <w:rsid w:val="009E0C88"/>
    <w:rsid w:val="00A02ACC"/>
    <w:rsid w:val="00A07071"/>
    <w:rsid w:val="00A07A11"/>
    <w:rsid w:val="00A14AC2"/>
    <w:rsid w:val="00A14E30"/>
    <w:rsid w:val="00A16AB9"/>
    <w:rsid w:val="00A2212A"/>
    <w:rsid w:val="00A236CA"/>
    <w:rsid w:val="00A24966"/>
    <w:rsid w:val="00A50C6B"/>
    <w:rsid w:val="00A51F65"/>
    <w:rsid w:val="00A645D1"/>
    <w:rsid w:val="00A65571"/>
    <w:rsid w:val="00AB3FAB"/>
    <w:rsid w:val="00AC65D6"/>
    <w:rsid w:val="00AC7511"/>
    <w:rsid w:val="00AD0FE5"/>
    <w:rsid w:val="00AD37D2"/>
    <w:rsid w:val="00AE242C"/>
    <w:rsid w:val="00AF0A9D"/>
    <w:rsid w:val="00B14673"/>
    <w:rsid w:val="00B40102"/>
    <w:rsid w:val="00B43C63"/>
    <w:rsid w:val="00B449AE"/>
    <w:rsid w:val="00B50320"/>
    <w:rsid w:val="00B66C11"/>
    <w:rsid w:val="00B67402"/>
    <w:rsid w:val="00B710C0"/>
    <w:rsid w:val="00B77EFB"/>
    <w:rsid w:val="00BB1A06"/>
    <w:rsid w:val="00BB2460"/>
    <w:rsid w:val="00BB2A98"/>
    <w:rsid w:val="00BD2EC4"/>
    <w:rsid w:val="00BD5844"/>
    <w:rsid w:val="00BD767E"/>
    <w:rsid w:val="00BE4D50"/>
    <w:rsid w:val="00BF0DE3"/>
    <w:rsid w:val="00C03F9E"/>
    <w:rsid w:val="00C10160"/>
    <w:rsid w:val="00C220BD"/>
    <w:rsid w:val="00C25311"/>
    <w:rsid w:val="00C33B5A"/>
    <w:rsid w:val="00C3528E"/>
    <w:rsid w:val="00C36E19"/>
    <w:rsid w:val="00C37918"/>
    <w:rsid w:val="00C5000A"/>
    <w:rsid w:val="00C50731"/>
    <w:rsid w:val="00C51AF2"/>
    <w:rsid w:val="00C51F38"/>
    <w:rsid w:val="00C6696F"/>
    <w:rsid w:val="00C704E8"/>
    <w:rsid w:val="00C71FE9"/>
    <w:rsid w:val="00C7758A"/>
    <w:rsid w:val="00C77CB0"/>
    <w:rsid w:val="00C8646C"/>
    <w:rsid w:val="00CA670C"/>
    <w:rsid w:val="00CA7841"/>
    <w:rsid w:val="00CA7DEA"/>
    <w:rsid w:val="00CA7F22"/>
    <w:rsid w:val="00CC3318"/>
    <w:rsid w:val="00CD1C55"/>
    <w:rsid w:val="00CE2135"/>
    <w:rsid w:val="00CE3142"/>
    <w:rsid w:val="00CF13D2"/>
    <w:rsid w:val="00CF7C92"/>
    <w:rsid w:val="00D0415F"/>
    <w:rsid w:val="00D05BC1"/>
    <w:rsid w:val="00D0678B"/>
    <w:rsid w:val="00D115D3"/>
    <w:rsid w:val="00D16974"/>
    <w:rsid w:val="00D22EA0"/>
    <w:rsid w:val="00D40E50"/>
    <w:rsid w:val="00D42E7C"/>
    <w:rsid w:val="00D442E7"/>
    <w:rsid w:val="00D60273"/>
    <w:rsid w:val="00D61D20"/>
    <w:rsid w:val="00D66414"/>
    <w:rsid w:val="00D664B7"/>
    <w:rsid w:val="00D71455"/>
    <w:rsid w:val="00D72716"/>
    <w:rsid w:val="00D766F4"/>
    <w:rsid w:val="00D94A8E"/>
    <w:rsid w:val="00DA04EE"/>
    <w:rsid w:val="00DB0FF9"/>
    <w:rsid w:val="00DB1D0B"/>
    <w:rsid w:val="00DB3664"/>
    <w:rsid w:val="00DB70FE"/>
    <w:rsid w:val="00DC1B62"/>
    <w:rsid w:val="00DC26D9"/>
    <w:rsid w:val="00DC7292"/>
    <w:rsid w:val="00DD2074"/>
    <w:rsid w:val="00DF4D0B"/>
    <w:rsid w:val="00DF6A65"/>
    <w:rsid w:val="00E0013C"/>
    <w:rsid w:val="00E07465"/>
    <w:rsid w:val="00E25BC1"/>
    <w:rsid w:val="00E27294"/>
    <w:rsid w:val="00E27565"/>
    <w:rsid w:val="00E3107E"/>
    <w:rsid w:val="00E35930"/>
    <w:rsid w:val="00E44BD8"/>
    <w:rsid w:val="00E81468"/>
    <w:rsid w:val="00E87562"/>
    <w:rsid w:val="00E9075C"/>
    <w:rsid w:val="00E92D1A"/>
    <w:rsid w:val="00EA7937"/>
    <w:rsid w:val="00EA7BCC"/>
    <w:rsid w:val="00EB3572"/>
    <w:rsid w:val="00EB489D"/>
    <w:rsid w:val="00EC4ACB"/>
    <w:rsid w:val="00EC62AC"/>
    <w:rsid w:val="00ED4C5D"/>
    <w:rsid w:val="00ED7864"/>
    <w:rsid w:val="00ED7F3F"/>
    <w:rsid w:val="00EE6391"/>
    <w:rsid w:val="00EF3C1A"/>
    <w:rsid w:val="00EF5FA9"/>
    <w:rsid w:val="00F0022A"/>
    <w:rsid w:val="00F17EE4"/>
    <w:rsid w:val="00F24BD7"/>
    <w:rsid w:val="00F36F83"/>
    <w:rsid w:val="00F44C94"/>
    <w:rsid w:val="00F51D0D"/>
    <w:rsid w:val="00F52137"/>
    <w:rsid w:val="00F60CFC"/>
    <w:rsid w:val="00F6322D"/>
    <w:rsid w:val="00F6472C"/>
    <w:rsid w:val="00F860BB"/>
    <w:rsid w:val="00F92997"/>
    <w:rsid w:val="00F92B3D"/>
    <w:rsid w:val="00FA51A2"/>
    <w:rsid w:val="00FD0FDF"/>
    <w:rsid w:val="00FD2BED"/>
    <w:rsid w:val="00FD2DF9"/>
    <w:rsid w:val="00FD4898"/>
    <w:rsid w:val="00FD5A10"/>
    <w:rsid w:val="00FD6C70"/>
    <w:rsid w:val="3214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99" w:semiHidden="0" w:name="List Paragraph"/>
    <w:lsdException w:qFormat="1" w:unhideWhenUsed="0" w:uiPriority="67" w:semiHidden="0" w:name="Medium Grid 1 Accent 3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link w:val="13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6"/>
    <w:qFormat/>
    <w:uiPriority w:val="22"/>
    <w:rPr>
      <w:b/>
      <w:bCs/>
    </w:rPr>
  </w:style>
  <w:style w:type="paragraph" w:styleId="9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0">
    <w:name w:val="Body Text"/>
    <w:basedOn w:val="1"/>
    <w:link w:val="25"/>
    <w:semiHidden/>
    <w:unhideWhenUsed/>
    <w:uiPriority w:val="99"/>
    <w:pPr>
      <w:spacing w:after="120"/>
    </w:pPr>
  </w:style>
  <w:style w:type="paragraph" w:styleId="11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">
    <w:name w:val="Body Text Indent 2"/>
    <w:basedOn w:val="1"/>
    <w:link w:val="22"/>
    <w:qFormat/>
    <w:uiPriority w:val="99"/>
    <w:pPr>
      <w:spacing w:after="0" w:line="240" w:lineRule="auto"/>
      <w:ind w:firstLine="567"/>
      <w:jc w:val="both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13">
    <w:name w:val="Заголовок 3 Знак"/>
    <w:basedOn w:val="6"/>
    <w:link w:val="4"/>
    <w:uiPriority w:val="9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customStyle="1" w:styleId="14">
    <w:name w:val="Текст выноски Знак"/>
    <w:basedOn w:val="6"/>
    <w:link w:val="9"/>
    <w:semiHidden/>
    <w:uiPriority w:val="99"/>
    <w:rPr>
      <w:rFonts w:ascii="Tahoma" w:hAnsi="Tahoma" w:cs="Tahoma"/>
      <w:sz w:val="16"/>
      <w:szCs w:val="16"/>
    </w:rPr>
  </w:style>
  <w:style w:type="character" w:customStyle="1" w:styleId="15">
    <w:name w:val="ConsPlusNormal Знак"/>
    <w:basedOn w:val="6"/>
    <w:link w:val="16"/>
    <w:locked/>
    <w:uiPriority w:val="0"/>
    <w:rPr>
      <w:rFonts w:ascii="Arial" w:hAnsi="Arial" w:cs="Arial"/>
      <w:lang w:eastAsia="zh-CN"/>
    </w:rPr>
  </w:style>
  <w:style w:type="paragraph" w:customStyle="1" w:styleId="16">
    <w:name w:val="ConsPlusNormal"/>
    <w:link w:val="15"/>
    <w:qFormat/>
    <w:uiPriority w:val="0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 w:eastAsiaTheme="minorHAnsi"/>
      <w:sz w:val="22"/>
      <w:szCs w:val="22"/>
      <w:lang w:val="ru-RU" w:eastAsia="zh-CN" w:bidi="ar-SA"/>
    </w:rPr>
  </w:style>
  <w:style w:type="table" w:customStyle="1" w:styleId="17">
    <w:name w:val="Средняя сетка 1 - Акцент 31"/>
    <w:basedOn w:val="7"/>
    <w:uiPriority w:val="67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8">
    <w:name w:val="Medium Grid 1 Accent 3"/>
    <w:basedOn w:val="7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character" w:customStyle="1" w:styleId="19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20">
    <w:name w:val="Заголовок 4 Знак"/>
    <w:basedOn w:val="6"/>
    <w:link w:val="5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Заголовок 2 Знак"/>
    <w:basedOn w:val="6"/>
    <w:link w:val="3"/>
    <w:semiHidden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2">
    <w:name w:val="Основной текст с отступом 2 Знак"/>
    <w:basedOn w:val="6"/>
    <w:link w:val="12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23">
    <w:name w:val="No Spacing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en-US" w:bidi="ar-SA"/>
    </w:rPr>
  </w:style>
  <w:style w:type="table" w:customStyle="1" w:styleId="24">
    <w:name w:val="Средняя сетка 1 - Акцент 311"/>
    <w:basedOn w:val="7"/>
    <w:uiPriority w:val="67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character" w:customStyle="1" w:styleId="25">
    <w:name w:val="Основной текст Знак"/>
    <w:basedOn w:val="6"/>
    <w:link w:val="10"/>
    <w:semiHidden/>
    <w:uiPriority w:val="99"/>
  </w:style>
  <w:style w:type="paragraph" w:styleId="26">
    <w:name w:val="List Paragraph"/>
    <w:basedOn w:val="1"/>
    <w:link w:val="27"/>
    <w:qFormat/>
    <w:uiPriority w:val="99"/>
    <w:pPr>
      <w:ind w:left="720"/>
      <w:contextualSpacing/>
    </w:pPr>
  </w:style>
  <w:style w:type="character" w:customStyle="1" w:styleId="27">
    <w:name w:val="Абзац списка Знак"/>
    <w:link w:val="26"/>
    <w:locked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85B91-6883-4CAA-BC95-4290D77077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Image&amp;Matros ®</Company>
  <Pages>6</Pages>
  <Words>2328</Words>
  <Characters>13276</Characters>
  <Lines>110</Lines>
  <Paragraphs>31</Paragraphs>
  <TotalTime>395</TotalTime>
  <ScaleCrop>false</ScaleCrop>
  <LinksUpToDate>false</LinksUpToDate>
  <CharactersWithSpaces>15573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2025-10-27T09:38:00Z</dcterms:created>
  <dc:creator>Image&amp;Matros ®</dc:creator>
  <cp:lastModifiedBy>FEUDohod</cp:lastModifiedBy>
  <cp:lastPrinted>2025-10-28T04:19:00Z</cp:lastPrinted>
  <dcterms:modified xsi:type="dcterms:W3CDTF">2025-11-14T05:32:46Z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CC59160138F9436D8FA15B101D6543C5_12</vt:lpwstr>
  </property>
</Properties>
</file>